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3E" w:rsidRDefault="00A5153E" w:rsidP="00A515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15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ЗАТВЕРДЖУЮ</w:t>
      </w:r>
      <w:r w:rsidRPr="00A5153E">
        <w:rPr>
          <w:rFonts w:ascii="Times New Roman" w:hAnsi="Times New Roman" w:cs="Times New Roman"/>
          <w:sz w:val="28"/>
          <w:szCs w:val="28"/>
        </w:rPr>
        <w:t>»</w:t>
      </w:r>
    </w:p>
    <w:p w:rsidR="00A5153E" w:rsidRDefault="00A5153E" w:rsidP="00A51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:rsidR="00A5153E" w:rsidRDefault="00A5153E" w:rsidP="00A51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:rsidR="00A5153E" w:rsidRDefault="00A5153E" w:rsidP="00A5153E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65B7" w:rsidRPr="00425A5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багатоквартирних будинків міської ради</w:t>
      </w:r>
    </w:p>
    <w:p w:rsidR="00A5153E" w:rsidRDefault="00A5153E" w:rsidP="00A515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</w:t>
      </w:r>
      <w:r w:rsidRPr="0010198E">
        <w:rPr>
          <w:rFonts w:ascii="Times New Roman" w:hAnsi="Times New Roman" w:cs="Times New Roman"/>
          <w:b/>
          <w:sz w:val="28"/>
          <w:szCs w:val="28"/>
        </w:rPr>
        <w:t>І.І. Іванов</w:t>
      </w:r>
    </w:p>
    <w:p w:rsidR="00A5153E" w:rsidRDefault="00A5153E" w:rsidP="00A515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65B7">
        <w:rPr>
          <w:rFonts w:ascii="Times New Roman" w:hAnsi="Times New Roman" w:cs="Times New Roman"/>
          <w:sz w:val="28"/>
          <w:szCs w:val="28"/>
        </w:rPr>
        <w:t xml:space="preserve">                 «___»______2022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E7864" w:rsidRPr="00A5153E" w:rsidRDefault="00A5153E" w:rsidP="00A515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</w:p>
    <w:p w:rsidR="003E7864" w:rsidRPr="00F50239" w:rsidRDefault="003E7864" w:rsidP="00BB5C1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864" w:rsidRPr="00F50239" w:rsidRDefault="0010198E" w:rsidP="00BB5C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E7864" w:rsidRPr="0010198E" w:rsidRDefault="0010198E" w:rsidP="003552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по розвитку ОСББ міської </w:t>
      </w:r>
      <w:r w:rsidR="007565B7">
        <w:rPr>
          <w:rFonts w:ascii="Times New Roman" w:hAnsi="Times New Roman" w:cs="Times New Roman"/>
          <w:b/>
          <w:sz w:val="28"/>
          <w:szCs w:val="28"/>
        </w:rPr>
        <w:t>ради за підсумками роботи у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3E7864" w:rsidRDefault="003E7864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B7" w:rsidRDefault="007565B7" w:rsidP="007565B7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програми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міської  територіальної громади на </w:t>
      </w:r>
      <w:r>
        <w:rPr>
          <w:rFonts w:ascii="Times New Roman" w:hAnsi="Times New Roman" w:cs="Times New Roman"/>
          <w:color w:val="000000"/>
          <w:sz w:val="28"/>
          <w:szCs w:val="28"/>
        </w:rPr>
        <w:t>2014–2023 роки», надаємо наступну інформацію.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2021 року на території Вінницької міської територіальної громади зареєстровано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будинках.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01.01.2022 р.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багатоквартирному житловому будинку міста функціонує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загального обсягу багатоквартирного житлового фонду міста (2076 житлових будинків).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Меморандум  про співпрацю та взаєморозуміння у сфері надання послуг з управління багатоквартирними будинками на території Вінницької міської територіальної громади, запропонований міською радою в цілях організації спільних дій з питань належного утримання житлових  будинків та прибудинкових територій, підписали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об’єднання. Загальна кількість ОСББ, які підписали Меморандум,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загальної кількості ОСББ міста.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 оформили майнові права на прибудинкову територію, з них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отримали в постійне користування земельні ділянки у 2021 році.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Ініціативним групам зі створення ОСББ 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інформаційних довідок з КП «ВМБТІ» щодо власників житлових і нежитлових приміщень багатоквартирних будинків на загальну суму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291 613, 00 грн.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Протягом 2021 року спільно з ГО «Ресурсний центр підтримки ОСББ міста Вінниця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 зустрічей з мешканцями багатоквартирних будинків міста щодо переваг, порядку створення й фінансово-господарської діяльності ОСББ, а саме: 80 зустрічей зі співвласниками багатоквартирних будинків, 11 – з трудовими колективами закладів культури, 34 – з колективами комунальних підприємств Вінницької міської ради;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працівниками Ресурсного центру 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1 517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консультацій, а саме: очних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 телефонному режимі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1 132.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консультацій у телефонному режимі надано співробітниками відділу по розвитку ОСББ; 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10 по 25 лютого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ЄС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/ПРООН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Houses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навчання основам управління будинком для голів новостворених ОСББ у «Зимовій школі молодого ОСББ», за результатами якого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отримали сертифікати;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15 по 30 червня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із ВООТ «Знання» організовано та проведено навчання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15-ти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бухгалтерів ОСББ на курсах: «Основи бухгалтерського обліку та діловодства ОСББ», за результатами якого учасники отримали іменні сертифікати;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25 жовтня по 05 листопада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організовано та проведено навчання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голів правлінь ОСББ на базі Київського національного університету будівництва та архітектури за напрямком: «Менеджер (управитель) житлового будинку (групи будинків)», за результатами якого учасники отримали іменні свідоцтва;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із КНУБА проведено (</w:t>
      </w:r>
      <w:r>
        <w:rPr>
          <w:rFonts w:ascii="Times New Roman" w:hAnsi="Times New Roman"/>
          <w:bCs/>
          <w:sz w:val="28"/>
          <w:szCs w:val="28"/>
        </w:rPr>
        <w:t xml:space="preserve">у програмі </w:t>
      </w:r>
      <w:r>
        <w:rPr>
          <w:rFonts w:ascii="Times New Roman" w:hAnsi="Times New Roman"/>
          <w:bCs/>
          <w:sz w:val="28"/>
          <w:szCs w:val="28"/>
          <w:lang w:val="en-US"/>
        </w:rPr>
        <w:t>ZOOM</w:t>
      </w:r>
      <w:r>
        <w:rPr>
          <w:rFonts w:ascii="Times New Roman" w:hAnsi="Times New Roman"/>
          <w:bCs/>
          <w:sz w:val="28"/>
          <w:szCs w:val="28"/>
        </w:rPr>
        <w:t xml:space="preserve">) онлайн-навчання з юридичних питань ОСББ для слухачів курсу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«Менеджер (управитель) житлового будинку (групи будинків)»;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січня по червень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2021 року</w:t>
      </w:r>
      <w:r>
        <w:rPr>
          <w:rFonts w:ascii="Times New Roman" w:hAnsi="Times New Roman"/>
          <w:bCs/>
          <w:sz w:val="28"/>
          <w:szCs w:val="28"/>
        </w:rPr>
        <w:t xml:space="preserve"> в рамках проєкту ЄС/ПРООН «</w:t>
      </w:r>
      <w:r>
        <w:rPr>
          <w:rFonts w:ascii="Times New Roman" w:hAnsi="Times New Roman"/>
          <w:bCs/>
          <w:sz w:val="28"/>
          <w:szCs w:val="28"/>
          <w:lang w:val="en-US"/>
        </w:rPr>
        <w:t>HOUSES</w:t>
      </w:r>
      <w:r>
        <w:rPr>
          <w:rFonts w:ascii="Times New Roman" w:hAnsi="Times New Roman"/>
          <w:bCs/>
          <w:sz w:val="28"/>
          <w:szCs w:val="28"/>
        </w:rPr>
        <w:t xml:space="preserve">» проведено </w:t>
      </w:r>
      <w:r>
        <w:rPr>
          <w:rFonts w:ascii="Times New Roman" w:hAnsi="Times New Roman"/>
          <w:b/>
          <w:bCs/>
          <w:sz w:val="28"/>
          <w:szCs w:val="28"/>
        </w:rPr>
        <w:t xml:space="preserve">45 </w:t>
      </w:r>
      <w:r>
        <w:rPr>
          <w:rFonts w:ascii="Times New Roman" w:hAnsi="Times New Roman"/>
          <w:bCs/>
          <w:sz w:val="28"/>
          <w:szCs w:val="28"/>
        </w:rPr>
        <w:t>навчальних онлайн-</w:t>
      </w:r>
      <w:proofErr w:type="spellStart"/>
      <w:r>
        <w:rPr>
          <w:rFonts w:ascii="Times New Roman" w:hAnsi="Times New Roman"/>
          <w:bCs/>
          <w:sz w:val="28"/>
          <w:szCs w:val="28"/>
        </w:rPr>
        <w:t>вебінарів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для представників понад 100 об’єднань м. Вінниця щодо роз’яснення законодавства у сфері управління багатоквартирними будинками та ведення фінансово-господарської діяльності в ОСББ;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березня 2021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АТ «Вінницягаз» проведено онлайн-вебінар для споживачів природного газу з питань технічного обслуговування внутрішньобудинкових мереж газопостачання, правил безпеки при користуванні газом;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вересня по грудень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спільно з ДУ «Фонд енергоефективності» проведено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онлайн-навчань по програмі комплексної енергомодернізації будинку «Енергодім»;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ініційовано та організовано для голів правлінь ОСББ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інформаційно-роз’яснювальних зустрічей/консультацій з представниками ряду організацій, зокрема: 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04.03.2021 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зустріч щодо підписання Акту розмежування балансової належності та експлуатаційної відповідальності сторін та укладення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технічного обслуговування системи газопостачання та газового обладнання із АТ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ВінницяГаз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25.03.2021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зустріч (на платформі ZOOM) з головами правлінь       7-ми ОСББ міста щодо переваг участі у Програмі «Енергодім» у співпраці із МКП «Вінницький фонд муніципальних інвестицій»;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27.05.2021 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зустріч з керівниками виконавчих органів Вінницької міської ради щодо участі об’єднань у Програмі «Енергодім» державної установи «Фонд Енергоефективності» у співпраці із МКП «Вінницький фонд муніципальних інвестицій», за результатами якої відділом по розвитку ОСББ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програми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міської територіальної громади на 2014–2023 роки»;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04.08.2021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у приміщенні Ресурсного центру підтримки ОСББ міста Вінниця спільно з Бюро інституційного розвитку, патрульною поліцією Вінницької обл. та Вінницьким центром соціальних служб проведено інформаційну зустріч на тему: «Протидія та запобігання домашньому насильству»;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08.09.2021 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зустріч із представниками ВОМТЦтаСП на тему: «Організація призову громадян в ОСББ на строкову військову службу»;</w:t>
      </w:r>
    </w:p>
    <w:p w:rsidR="007565B7" w:rsidRDefault="007565B7" w:rsidP="007565B7">
      <w:pPr>
        <w:pStyle w:val="a5"/>
        <w:numPr>
          <w:ilvl w:val="0"/>
          <w:numId w:val="14"/>
        </w:num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17.09.2021 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зустріч з представниками Департаменту енергетики, транспорту та зв’язку міської ради та головами правлінь мікрорайону Поділля щодо запровадження автобусного маршруту №32 «Сабарів– Залізничний вокзал».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3-х</w:t>
      </w:r>
      <w:r>
        <w:rPr>
          <w:rFonts w:ascii="Times New Roman CYR" w:hAnsi="Times New Roman CYR" w:cs="Times New Roman CYR"/>
          <w:sz w:val="28"/>
          <w:szCs w:val="28"/>
        </w:rPr>
        <w:t> ефірах на радіо та телебаченні за участі начальника відділу по розвитку ОСББ Іванова І.І. проінформовано громадян щодо переваг створення ОСББ, місцевих і державних програм підтримки співвласників багатоквартирних будинків, зокрема: у 2-х ефірах на радіо «Місто над Бугом» й у ток-шоу «На часі» телеканалу «Віта»;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виготовлено, спільно з телеканалом «Віта»,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відеосюжетів з метою популяризації створення ОСББ у м. Вінниця та один відеосюжет – спільно з      КП «Вінницький інформаційний центр»;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надруковано та розповсюджено по багатоквартирним житловим будинкам міста понад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55 000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примірників інформаційних буклетів «Створи ОСББ»;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інформаційні матеріали щодо створення ОСББ було розміщено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зупинках громадського транспорту;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 та розповсюджено інформаційні матеріали в центрах надання адміністративних послуг «Прозорий офіс»;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листопаді 2021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офіційну сторінку відділу по розвитку ОСББ у соціальній мережі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оголошення для голів правлінь ОСББ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 відділу по розвитку ОСББ;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функціонує власний сайт з актуальною інформацією та ведеться сторінка Ресурсного центру у соціальній мережі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Загальна кількість публікацій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5B7" w:rsidRDefault="007565B7" w:rsidP="007565B7">
      <w:pPr>
        <w:pStyle w:val="a5"/>
        <w:numPr>
          <w:ilvl w:val="0"/>
          <w:numId w:val="13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семінарі, </w:t>
      </w:r>
      <w:r>
        <w:rPr>
          <w:rFonts w:ascii="Times New Roman CYR" w:hAnsi="Times New Roman CYR" w:cs="Times New Roman CYR"/>
          <w:sz w:val="28"/>
          <w:szCs w:val="28"/>
        </w:rPr>
        <w:t>організованому Асоціацією органів місцевого самоврядування,  а також - під час науково-практичного круглого столу, організованого ВННІЕ ЗУНУ, начальником відділу по розвитку ОСББ міської ради Івановим І.І. презентовано діяльність відділу та ГО «Ресурсний центр підтримки ОСББ міста Вінниця»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7565B7" w:rsidRDefault="007565B7" w:rsidP="007565B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За інформацією Департаменту житлового господарства Вінницької міської ради: станом на 31.12.2021 р. у ВМТГ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ОСББ отримали безкоштовний капітальний ремонт одного із видів конструктивних елементів за рахунок міського бюджету на суму </w:t>
      </w: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24 603 092, 82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саме: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29 будинках проведено ремонт покрівлі; в 10 будинках здійснено ремонт інженерних мереж, зокрема: опалення – 3 буд., холодне водопостачання – 4 буд., каналізація – 1 буд., система електрозабезпечення – 2 буд.; у 2-х будинках (4 під’їзди) проведено капітальний ремонт ліфтів; в 4 будинках замінено віконні блоки. </w:t>
      </w:r>
    </w:p>
    <w:p w:rsidR="007565B7" w:rsidRDefault="007565B7" w:rsidP="007565B7">
      <w:pPr>
        <w:shd w:val="clear" w:color="auto" w:fill="FFFFFF"/>
        <w:spacing w:after="0" w:line="276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ОСББ було здійснено капітальний ремонт на умовах співфінансування (30/70), де частка міського бюджету склала </w:t>
      </w: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6 481 449,9 </w:t>
      </w:r>
      <w:r>
        <w:rPr>
          <w:rFonts w:ascii="Times New Roman" w:hAnsi="Times New Roman" w:cs="Times New Roman"/>
          <w:sz w:val="28"/>
          <w:szCs w:val="28"/>
        </w:rPr>
        <w:t xml:space="preserve">грн. (70%). А саме: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 1 будинку проведено капітальний ремонт покрівлі; у 9 будинках проведено капітальний ремонт інженерних мереж, зокрема: системи електрозабезпечення – 3 буд., холодного водопостачання – 3 буд., каналізації – 1 буд., холодного водопостачання та каналізації – 2 буд.; в 5 будинках (8 під’їздів) проведено капітальний ремонт ліфтів; у 4 будинках замінено віконні блоки; в 1 будинку замінено віконні та дверні блоки; у 4 будинках проведено ремонт стиків стінових панелей; в 1 будинку здійснено вимощення; у 1 будинку проведено ремонт під’їзду; в 1 будинку здійснено ремонт вхідної групи.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протягом 2021 року в </w:t>
      </w:r>
      <w:r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-х будинках ОСББ здійснено капітальні ремонти на суму </w:t>
      </w:r>
      <w:r>
        <w:rPr>
          <w:rFonts w:ascii="Times New Roman" w:hAnsi="Times New Roman" w:cs="Times New Roman"/>
          <w:b/>
          <w:sz w:val="28"/>
          <w:szCs w:val="28"/>
        </w:rPr>
        <w:t>31 084 542, 72 грн.</w:t>
      </w:r>
    </w:p>
    <w:p w:rsidR="007565B7" w:rsidRDefault="007565B7" w:rsidP="007565B7">
      <w:pPr>
        <w:spacing w:after="0"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0" w:name="_GoBack"/>
      <w:bookmarkEnd w:id="0"/>
    </w:p>
    <w:sectPr w:rsidR="007565B7" w:rsidSect="0010198E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BE9"/>
    <w:multiLevelType w:val="hybridMultilevel"/>
    <w:tmpl w:val="FD4C003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027"/>
    <w:multiLevelType w:val="hybridMultilevel"/>
    <w:tmpl w:val="F0A6BD90"/>
    <w:lvl w:ilvl="0" w:tplc="76366548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590038C"/>
    <w:multiLevelType w:val="hybridMultilevel"/>
    <w:tmpl w:val="74C4283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5D562F3"/>
    <w:multiLevelType w:val="hybridMultilevel"/>
    <w:tmpl w:val="0380849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B713B"/>
    <w:multiLevelType w:val="hybridMultilevel"/>
    <w:tmpl w:val="5742E3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93134"/>
    <w:multiLevelType w:val="hybridMultilevel"/>
    <w:tmpl w:val="C9429910"/>
    <w:lvl w:ilvl="0" w:tplc="0422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78F7801"/>
    <w:multiLevelType w:val="hybridMultilevel"/>
    <w:tmpl w:val="C9F2D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7133"/>
    <w:multiLevelType w:val="hybridMultilevel"/>
    <w:tmpl w:val="E1D41AC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A07E5"/>
    <w:multiLevelType w:val="hybridMultilevel"/>
    <w:tmpl w:val="92D230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234"/>
    <w:multiLevelType w:val="hybridMultilevel"/>
    <w:tmpl w:val="175A5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505"/>
    <w:multiLevelType w:val="hybridMultilevel"/>
    <w:tmpl w:val="3FBEEE0E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C6F34"/>
    <w:multiLevelType w:val="hybridMultilevel"/>
    <w:tmpl w:val="A8380270"/>
    <w:lvl w:ilvl="0" w:tplc="756C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85B72"/>
    <w:multiLevelType w:val="hybridMultilevel"/>
    <w:tmpl w:val="DF207766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5"/>
    <w:rsid w:val="0003227A"/>
    <w:rsid w:val="00064A06"/>
    <w:rsid w:val="00073D98"/>
    <w:rsid w:val="000A1266"/>
    <w:rsid w:val="000C31EE"/>
    <w:rsid w:val="000D318B"/>
    <w:rsid w:val="000E0587"/>
    <w:rsid w:val="000E2151"/>
    <w:rsid w:val="000E61AA"/>
    <w:rsid w:val="001006D0"/>
    <w:rsid w:val="0010198E"/>
    <w:rsid w:val="00167467"/>
    <w:rsid w:val="00180028"/>
    <w:rsid w:val="001A6C3D"/>
    <w:rsid w:val="001A6E32"/>
    <w:rsid w:val="001B4CBE"/>
    <w:rsid w:val="001C3D89"/>
    <w:rsid w:val="001D73D7"/>
    <w:rsid w:val="001F61F5"/>
    <w:rsid w:val="0022485B"/>
    <w:rsid w:val="00226B61"/>
    <w:rsid w:val="00243C33"/>
    <w:rsid w:val="00243D7E"/>
    <w:rsid w:val="00244E0B"/>
    <w:rsid w:val="002660F8"/>
    <w:rsid w:val="00294002"/>
    <w:rsid w:val="00296886"/>
    <w:rsid w:val="002A1D81"/>
    <w:rsid w:val="0030290A"/>
    <w:rsid w:val="00304E27"/>
    <w:rsid w:val="00312F47"/>
    <w:rsid w:val="003146EC"/>
    <w:rsid w:val="00315728"/>
    <w:rsid w:val="00327D11"/>
    <w:rsid w:val="00330983"/>
    <w:rsid w:val="003324D9"/>
    <w:rsid w:val="003336A2"/>
    <w:rsid w:val="00341D8A"/>
    <w:rsid w:val="00343FFD"/>
    <w:rsid w:val="00345F60"/>
    <w:rsid w:val="00353064"/>
    <w:rsid w:val="003552AA"/>
    <w:rsid w:val="00360AEE"/>
    <w:rsid w:val="00372665"/>
    <w:rsid w:val="00376C45"/>
    <w:rsid w:val="003A69DB"/>
    <w:rsid w:val="003C2DF3"/>
    <w:rsid w:val="003C641D"/>
    <w:rsid w:val="003E7864"/>
    <w:rsid w:val="00403B5E"/>
    <w:rsid w:val="004215BA"/>
    <w:rsid w:val="00423090"/>
    <w:rsid w:val="00423509"/>
    <w:rsid w:val="00425A5D"/>
    <w:rsid w:val="00441DCC"/>
    <w:rsid w:val="00447521"/>
    <w:rsid w:val="00456EA2"/>
    <w:rsid w:val="00460FE2"/>
    <w:rsid w:val="00465ED6"/>
    <w:rsid w:val="0047432D"/>
    <w:rsid w:val="00487D16"/>
    <w:rsid w:val="0049464D"/>
    <w:rsid w:val="004B3E01"/>
    <w:rsid w:val="004C15B9"/>
    <w:rsid w:val="004C2013"/>
    <w:rsid w:val="004D3186"/>
    <w:rsid w:val="004D35CD"/>
    <w:rsid w:val="005030AF"/>
    <w:rsid w:val="00512D95"/>
    <w:rsid w:val="00514F03"/>
    <w:rsid w:val="0053398F"/>
    <w:rsid w:val="0053534D"/>
    <w:rsid w:val="0055273E"/>
    <w:rsid w:val="0056340D"/>
    <w:rsid w:val="00580585"/>
    <w:rsid w:val="00590642"/>
    <w:rsid w:val="005E435E"/>
    <w:rsid w:val="005E4985"/>
    <w:rsid w:val="005E5E28"/>
    <w:rsid w:val="005E7823"/>
    <w:rsid w:val="005F2A20"/>
    <w:rsid w:val="00640401"/>
    <w:rsid w:val="00654973"/>
    <w:rsid w:val="00660D12"/>
    <w:rsid w:val="006946DF"/>
    <w:rsid w:val="006A2FD8"/>
    <w:rsid w:val="006B76A7"/>
    <w:rsid w:val="006C3CCD"/>
    <w:rsid w:val="006C772D"/>
    <w:rsid w:val="006E710F"/>
    <w:rsid w:val="006E7C7F"/>
    <w:rsid w:val="00707991"/>
    <w:rsid w:val="00711030"/>
    <w:rsid w:val="00741751"/>
    <w:rsid w:val="00755EBC"/>
    <w:rsid w:val="007565B7"/>
    <w:rsid w:val="0077151E"/>
    <w:rsid w:val="00797BC4"/>
    <w:rsid w:val="007D4690"/>
    <w:rsid w:val="007E1D94"/>
    <w:rsid w:val="007E61CB"/>
    <w:rsid w:val="007E78A4"/>
    <w:rsid w:val="00805DE3"/>
    <w:rsid w:val="00822CC5"/>
    <w:rsid w:val="00855690"/>
    <w:rsid w:val="00871962"/>
    <w:rsid w:val="00874532"/>
    <w:rsid w:val="00883A96"/>
    <w:rsid w:val="00885185"/>
    <w:rsid w:val="008C316B"/>
    <w:rsid w:val="008D0406"/>
    <w:rsid w:val="008D47D1"/>
    <w:rsid w:val="00910EC7"/>
    <w:rsid w:val="00915786"/>
    <w:rsid w:val="00933E71"/>
    <w:rsid w:val="00961BE6"/>
    <w:rsid w:val="009951DF"/>
    <w:rsid w:val="009A5DE0"/>
    <w:rsid w:val="009C10FD"/>
    <w:rsid w:val="009C50F9"/>
    <w:rsid w:val="009C5E97"/>
    <w:rsid w:val="009F0234"/>
    <w:rsid w:val="00A02B18"/>
    <w:rsid w:val="00A05208"/>
    <w:rsid w:val="00A232D8"/>
    <w:rsid w:val="00A50783"/>
    <w:rsid w:val="00A508D0"/>
    <w:rsid w:val="00A5153E"/>
    <w:rsid w:val="00A6261A"/>
    <w:rsid w:val="00A736C7"/>
    <w:rsid w:val="00A77E49"/>
    <w:rsid w:val="00A8264D"/>
    <w:rsid w:val="00A86549"/>
    <w:rsid w:val="00A95C3C"/>
    <w:rsid w:val="00AA1BA3"/>
    <w:rsid w:val="00AA2FC4"/>
    <w:rsid w:val="00AB367A"/>
    <w:rsid w:val="00AD299B"/>
    <w:rsid w:val="00AF5F06"/>
    <w:rsid w:val="00AF6167"/>
    <w:rsid w:val="00B0254D"/>
    <w:rsid w:val="00B30FA5"/>
    <w:rsid w:val="00B460FB"/>
    <w:rsid w:val="00B66B60"/>
    <w:rsid w:val="00B84BE4"/>
    <w:rsid w:val="00BB55C9"/>
    <w:rsid w:val="00BB5C14"/>
    <w:rsid w:val="00BB7754"/>
    <w:rsid w:val="00BC7C90"/>
    <w:rsid w:val="00BD23DE"/>
    <w:rsid w:val="00BE6BB9"/>
    <w:rsid w:val="00BF033C"/>
    <w:rsid w:val="00C11D21"/>
    <w:rsid w:val="00C17477"/>
    <w:rsid w:val="00C20BF5"/>
    <w:rsid w:val="00C22D35"/>
    <w:rsid w:val="00C23EA7"/>
    <w:rsid w:val="00C25504"/>
    <w:rsid w:val="00C51D42"/>
    <w:rsid w:val="00C574FF"/>
    <w:rsid w:val="00C770F6"/>
    <w:rsid w:val="00C87AD9"/>
    <w:rsid w:val="00CA068A"/>
    <w:rsid w:val="00CB45D1"/>
    <w:rsid w:val="00CB4625"/>
    <w:rsid w:val="00CB7388"/>
    <w:rsid w:val="00CD3793"/>
    <w:rsid w:val="00CE2410"/>
    <w:rsid w:val="00D00D2D"/>
    <w:rsid w:val="00D2574E"/>
    <w:rsid w:val="00D50DEB"/>
    <w:rsid w:val="00D55CA6"/>
    <w:rsid w:val="00D6494E"/>
    <w:rsid w:val="00D66FAE"/>
    <w:rsid w:val="00D67F58"/>
    <w:rsid w:val="00D87803"/>
    <w:rsid w:val="00DA3F8C"/>
    <w:rsid w:val="00DD0D4C"/>
    <w:rsid w:val="00DD4CDE"/>
    <w:rsid w:val="00DD4E17"/>
    <w:rsid w:val="00DE3BCF"/>
    <w:rsid w:val="00E14C9D"/>
    <w:rsid w:val="00E24A4E"/>
    <w:rsid w:val="00E466D8"/>
    <w:rsid w:val="00E64E59"/>
    <w:rsid w:val="00E67841"/>
    <w:rsid w:val="00E71BF0"/>
    <w:rsid w:val="00E82241"/>
    <w:rsid w:val="00EA502A"/>
    <w:rsid w:val="00EB2185"/>
    <w:rsid w:val="00EE78FC"/>
    <w:rsid w:val="00EF0BB1"/>
    <w:rsid w:val="00EF216B"/>
    <w:rsid w:val="00F05251"/>
    <w:rsid w:val="00F06C4F"/>
    <w:rsid w:val="00F3434D"/>
    <w:rsid w:val="00F50239"/>
    <w:rsid w:val="00F72A38"/>
    <w:rsid w:val="00F84D79"/>
    <w:rsid w:val="00FB10A7"/>
    <w:rsid w:val="00FB7BC9"/>
    <w:rsid w:val="00FD7B12"/>
    <w:rsid w:val="00FE61CD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2088-AED5-4DBD-912C-FE4B8B2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6C45"/>
    <w:pPr>
      <w:ind w:left="720"/>
      <w:contextualSpacing/>
    </w:pPr>
  </w:style>
  <w:style w:type="table" w:styleId="a6">
    <w:name w:val="Table Grid"/>
    <w:basedOn w:val="a1"/>
    <w:uiPriority w:val="59"/>
    <w:rsid w:val="002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1D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D3793"/>
  </w:style>
  <w:style w:type="character" w:customStyle="1" w:styleId="dat0">
    <w:name w:val="dat0"/>
    <w:basedOn w:val="a0"/>
    <w:rsid w:val="00FB7BC9"/>
  </w:style>
  <w:style w:type="paragraph" w:customStyle="1" w:styleId="rvps2">
    <w:name w:val="rvps2"/>
    <w:basedOn w:val="a"/>
    <w:rsid w:val="00FB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3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YMDCP7T7ZAFU-3-2358</_dlc_DocId>
    <_dlc_DocIdUrl xmlns="b5f8bae7-50d6-4b90-b8bc-d9567dd3f7b4">
      <Url>http://vosbb.vmr.gov.ua/_layouts/15/DocIdRedir.aspx?ID=YMDCP7T7ZAFU-3-2358</Url>
      <Description>YMDCP7T7ZAFU-3-2358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B1DEE-3DF6-4DBE-9CE4-DC0C571BFA2B}"/>
</file>

<file path=customXml/itemProps2.xml><?xml version="1.0" encoding="utf-8"?>
<ds:datastoreItem xmlns:ds="http://schemas.openxmlformats.org/officeDocument/2006/customXml" ds:itemID="{1D2680CA-321F-4453-B986-DDE3B32D1C6A}"/>
</file>

<file path=customXml/itemProps3.xml><?xml version="1.0" encoding="utf-8"?>
<ds:datastoreItem xmlns:ds="http://schemas.openxmlformats.org/officeDocument/2006/customXml" ds:itemID="{8EE9AE93-607C-4C5C-AECE-5630A6C2DC3A}"/>
</file>

<file path=customXml/itemProps4.xml><?xml version="1.0" encoding="utf-8"?>
<ds:datastoreItem xmlns:ds="http://schemas.openxmlformats.org/officeDocument/2006/customXml" ds:itemID="{A9AFED98-F38D-40BC-8644-4B8884052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5514</Words>
  <Characters>3143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Риверчук Ольга Іванівна</dc:creator>
  <cp:keywords/>
  <dc:description/>
  <cp:lastModifiedBy>Воронкова Ольга Анатоліївна</cp:lastModifiedBy>
  <cp:revision>19</cp:revision>
  <cp:lastPrinted>2022-01-19T09:48:00Z</cp:lastPrinted>
  <dcterms:created xsi:type="dcterms:W3CDTF">2021-01-11T09:48:00Z</dcterms:created>
  <dcterms:modified xsi:type="dcterms:W3CDTF">2022-01-19T09:50:00Z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ab1796c6-d38a-45a4-a3e6-468c296b89cb</vt:lpwstr>
  </property>
  <property fmtid="{D5CDD505-2E9C-101B-9397-08002B2CF9AE}" pid="3" name="ContentTypeId">
    <vt:lpwstr>0x01010084CC096870F4914191F570B746352CAF</vt:lpwstr>
  </property>
</Properties>
</file>